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A" w:rsidRPr="00E72C09" w:rsidRDefault="00A520FE" w:rsidP="0079051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C00000"/>
          <w:sz w:val="42"/>
          <w:szCs w:val="42"/>
          <w:lang w:val="en-US" w:eastAsia="ru-RU"/>
        </w:rPr>
        <w:t>X</w:t>
      </w:r>
      <w:r w:rsidR="00246042">
        <w:rPr>
          <w:rFonts w:ascii="Arial" w:eastAsia="Times New Roman" w:hAnsi="Arial" w:cs="Arial"/>
          <w:b/>
          <w:color w:val="C00000"/>
          <w:sz w:val="42"/>
          <w:szCs w:val="42"/>
          <w:lang w:val="en-US" w:eastAsia="ru-RU"/>
        </w:rPr>
        <w:t>I</w:t>
      </w:r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</w:t>
      </w:r>
      <w:proofErr w:type="spellStart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>Всекубанский</w:t>
      </w:r>
      <w:proofErr w:type="spellEnd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фестиваль-конкурс «Полифония сердец».</w:t>
      </w:r>
      <w:proofErr w:type="gramEnd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Отборочный этап.</w:t>
      </w:r>
    </w:p>
    <w:p w:rsidR="0047491A" w:rsidRPr="00F60B85" w:rsidRDefault="0047491A" w:rsidP="00644999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026C77" w:rsidRDefault="00026C77" w:rsidP="008A119B">
      <w:pPr>
        <w:shd w:val="clear" w:color="auto" w:fill="FFFFFF"/>
        <w:spacing w:after="0" w:line="12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октябрь</w:t>
      </w:r>
      <w:r w:rsidR="00F953A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2024 г.- май 2025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г.</w:t>
      </w:r>
    </w:p>
    <w:p w:rsidR="0047491A" w:rsidRDefault="0047491A" w:rsidP="008A119B">
      <w:pPr>
        <w:shd w:val="clear" w:color="auto" w:fill="FFFFFF"/>
        <w:spacing w:after="0" w:line="12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47491A" w:rsidRPr="00A520FE" w:rsidRDefault="00622D67" w:rsidP="00622D67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роводится с октября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2024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</w:t>
      </w:r>
      <w:r w:rsidR="00773C2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 май 202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 базе учреждений культуры муниципальных образований Краснодарского края.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2. Фестиваль-конкурс состоит из отборочных зональных конкурсных программ и заключительного финального мероприяти</w:t>
      </w:r>
      <w:r w:rsidR="008B3C1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я, которое пройдет 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 13</w:t>
      </w:r>
      <w:r w:rsidR="00F953AA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24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026C77" w:rsidRPr="001B3A95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026C77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года в</w:t>
      </w:r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п. Витязево (горо</w:t>
      </w:r>
      <w:proofErr w:type="gramStart"/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д-</w:t>
      </w:r>
      <w:proofErr w:type="gramEnd"/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курорт Анапа)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8B3C1B" w:rsidRPr="00A520FE" w:rsidRDefault="00246042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13 июня- 18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</w:t>
      </w:r>
      <w:proofErr w:type="gramStart"/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</w:t>
      </w:r>
      <w:proofErr w:type="gramEnd"/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A520FE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первый заезд</w:t>
      </w:r>
    </w:p>
    <w:p w:rsidR="008B3C1B" w:rsidRDefault="00246042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19 июня- 24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</w:t>
      </w:r>
      <w:proofErr w:type="gramStart"/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</w:t>
      </w:r>
      <w:proofErr w:type="gramEnd"/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A520FE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второй заезд</w:t>
      </w:r>
    </w:p>
    <w:p w:rsidR="00B126BF" w:rsidRPr="00A520FE" w:rsidRDefault="00B126BF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47491A" w:rsidRDefault="00A520FE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Участники, которые пройдут финал, могут сами выбрать удобное время своего </w:t>
      </w:r>
      <w:r w:rsidR="002668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заезда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 финале</w:t>
      </w:r>
      <w:r w:rsidR="002668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B126BF" w:rsidRPr="002668B3" w:rsidRDefault="00B126BF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F60B85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ство подготовкой и проведением 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I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Всекубанского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детского и юношеского творчества  «Полифония сердец»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B126BF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Полномочия Оргкомитета включают в себя участие в разработке концепции и тематики фестиваля-конкурса, утверждение Положения о фестивале-конкурсе, его дополнений и изменений, разработку программы фестиваля-конкурса, утверждение составов Отборочно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 комиссии и профессионального ж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</w:p>
    <w:p w:rsidR="0047491A" w:rsidRPr="00F60B85" w:rsidRDefault="0047491A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Место и сроки проведения фестиваля-конкурса:</w:t>
      </w:r>
    </w:p>
    <w:p w:rsidR="0047491A" w:rsidRDefault="0047491A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Зональные отборочные туры на базе учреждений культуры муниципальных </w:t>
      </w:r>
      <w:r w:rsidR="0040577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образо</w:t>
      </w:r>
      <w:r w:rsidR="00CA2B6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ваний Краснодарского края в 2025</w:t>
      </w:r>
      <w:r w:rsidR="0040577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году:</w:t>
      </w:r>
    </w:p>
    <w:p w:rsidR="00CA2B65" w:rsidRDefault="00CA2B65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5D276A" w:rsidRPr="00CA2B65" w:rsidRDefault="00CA2B65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30 марта</w:t>
      </w:r>
      <w:r w:rsidR="005D276A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5</w:t>
      </w:r>
      <w:r w:rsidR="005D276A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</w:t>
      </w:r>
      <w:proofErr w:type="gramStart"/>
      <w:r w:rsidR="005D276A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д-</w:t>
      </w:r>
      <w:proofErr w:type="gramEnd"/>
      <w:r w:rsidR="005D276A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г. ГУЛЬКЕВИЧИ-</w:t>
      </w:r>
      <w:r w:rsidR="00E47D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ул.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Комсомольская 80</w:t>
      </w:r>
    </w:p>
    <w:p w:rsidR="0079051C" w:rsidRPr="00CA2B65" w:rsidRDefault="00CA2B65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13 апреля 2025</w:t>
      </w:r>
      <w:r w:rsidR="0079051C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</w:t>
      </w:r>
      <w:proofErr w:type="gramStart"/>
      <w:r w:rsidR="0079051C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д-</w:t>
      </w:r>
      <w:proofErr w:type="gramEnd"/>
      <w:r w:rsidR="0079051C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ст. СТАРОКОРСУНСКАЯ (г. Краснодар)</w:t>
      </w:r>
      <w:r w:rsidR="00246042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</w:t>
      </w:r>
      <w:r w:rsidR="0079051C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ул.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Красная 27/1</w:t>
      </w:r>
    </w:p>
    <w:p w:rsidR="00C21121" w:rsidRPr="00CA2B65" w:rsidRDefault="00CA2B65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4 мая</w:t>
      </w:r>
      <w:r w:rsidR="00F943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2025</w:t>
      </w:r>
      <w:r w:rsidR="00F943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</w:t>
      </w:r>
      <w:proofErr w:type="gramStart"/>
      <w:r w:rsidR="00F943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д-</w:t>
      </w:r>
      <w:proofErr w:type="gramEnd"/>
      <w:r w:rsidR="00F94351" w:rsidRPr="00CA2B65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462FD9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="00F943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.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ЕЙСК</w:t>
      </w:r>
      <w:r w:rsidR="00F94351"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- ул. </w:t>
      </w:r>
      <w:r w:rsidRPr="00CA2B6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Свердлова 73/1</w:t>
      </w:r>
    </w:p>
    <w:p w:rsidR="00F953AA" w:rsidRPr="00C21121" w:rsidRDefault="00F953AA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</w:p>
    <w:p w:rsidR="0047491A" w:rsidRDefault="00773C2F" w:rsidP="0047491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474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A520FE" w:rsidRDefault="00A520FE" w:rsidP="0047491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024350" w:rsidRDefault="00024350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47491A" w:rsidRPr="004F5FD3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Фестиваль-конкурс проходит в несколько этапов:</w:t>
      </w:r>
    </w:p>
    <w:p w:rsidR="0047491A" w:rsidRPr="00F60B85" w:rsidRDefault="0047491A" w:rsidP="0047491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Первый этап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отбор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очный, проводится с октября 2024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</w:t>
      </w:r>
      <w:r w:rsidR="00773C2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 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май 2025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</w:t>
      </w:r>
      <w:r w:rsidR="0079051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47491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Второй 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финальный, проводится в июне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2025</w:t>
      </w:r>
      <w:r w:rsidR="0002435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года.</w:t>
      </w:r>
    </w:p>
    <w:p w:rsidR="0047491A" w:rsidRPr="00F60B85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финальный этап приг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лашаются участники, получившие д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ип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лом Л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ауреата I степени в отборочном 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туре.</w:t>
      </w:r>
    </w:p>
    <w:p w:rsidR="00363C18" w:rsidRPr="00024350" w:rsidRDefault="0047491A" w:rsidP="001244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</w:pPr>
      <w:r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Оргкомитет оставл</w:t>
      </w:r>
      <w:r w:rsidR="00A520FE"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яет за собой право пригласить в</w:t>
      </w:r>
      <w:r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 xml:space="preserve"> финал коллективы, не получившие Диплом лауреата I степени.</w:t>
      </w:r>
    </w:p>
    <w:p w:rsidR="0047491A" w:rsidRPr="00F60B85" w:rsidRDefault="0047491A" w:rsidP="001B3E2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47491A" w:rsidRPr="00026C77" w:rsidRDefault="0047491A" w:rsidP="00026C77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выявление лучших творческих</w:t>
      </w:r>
      <w:r w:rsidR="0002435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коллективов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поддержка и развитие детского и юношеского творчества;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47491A" w:rsidRPr="007A503E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тие исполнители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147FA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хореографического и вокального искусства по следующим номинациям:</w:t>
      </w:r>
    </w:p>
    <w:p w:rsidR="008B3C1B" w:rsidRPr="007D586C" w:rsidRDefault="008B3C1B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7D586C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хореография:                                                                       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детский танец (до 7 лет)                                                        детский вокал (до 7 лет)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                  эстрадный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                  народный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             академический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                  джазовый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  <w:r w:rsidR="0079051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A79CE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79051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рок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8B3C1B" w:rsidRDefault="008B3C1B" w:rsidP="00584E8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584E8F" w:rsidRPr="00584E8F" w:rsidRDefault="00584E8F" w:rsidP="00584E8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</w:p>
    <w:p w:rsidR="0047491A" w:rsidRDefault="008B3C1B" w:rsidP="000406CC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(или отдельный исполнитель) имеет право участвовать в нескольких номинациях и в разных возрастных группах.</w:t>
      </w:r>
    </w:p>
    <w:p w:rsidR="008B3C1B" w:rsidRDefault="008B3C1B" w:rsidP="00C21121">
      <w:pPr>
        <w:shd w:val="clear" w:color="auto" w:fill="FFFFFF"/>
        <w:spacing w:after="0" w:line="120" w:lineRule="atLeast"/>
        <w:ind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21121" w:rsidRPr="000406CC" w:rsidRDefault="00C21121" w:rsidP="00C21121">
      <w:pPr>
        <w:shd w:val="clear" w:color="auto" w:fill="FFFFFF"/>
        <w:spacing w:after="0" w:line="120" w:lineRule="atLeast"/>
        <w:ind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Default="0047491A" w:rsidP="0047491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color w:val="222222"/>
          <w:sz w:val="32"/>
          <w:szCs w:val="32"/>
          <w:lang w:eastAsia="ru-RU"/>
        </w:rPr>
        <w:t>ВНИМАНИЕ!</w:t>
      </w:r>
    </w:p>
    <w:p w:rsidR="0047491A" w:rsidRPr="00C03F73" w:rsidRDefault="000308EE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номинаци</w:t>
      </w: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</w:t>
      </w:r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47491A" w:rsidRPr="007D586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«ЛУЧШИЙ РА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ЗНОЖАНРОВЫЙ УЧАСТНИК ФЕСТИВАЛЯ»</w:t>
      </w:r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принимают участие ВСЕ участники фестиваля, которые заявляют на менее двух основных номинаций (оценка берется как средняя арифметическая). В этой номинации, на усмотрение жюри, присуждается лауреат 1, 2, 3 степени и все лауреаты в этой номинации приглашаются в ФИНАЛ.  </w:t>
      </w:r>
    </w:p>
    <w:p w:rsidR="0047491A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зональных отборочных этапах в одной номинации коллектив выставляет </w:t>
      </w:r>
      <w:r w:rsidR="0095081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 w:rsidRPr="000308E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номер.</w:t>
      </w:r>
    </w:p>
    <w:p w:rsidR="00C21121" w:rsidRPr="00CA2B65" w:rsidRDefault="00C21121" w:rsidP="00CA2B65">
      <w:pPr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0308EE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 xml:space="preserve">В случае выхода в финал, исполнитель оценивается по двум 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номерам, при этом в финале</w:t>
      </w: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исполняется </w:t>
      </w:r>
      <w:r w:rsidR="0095081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ДВА</w:t>
      </w:r>
      <w:r w:rsidR="000308EE"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номера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Номер из отборочного этапа можно повторять.</w:t>
      </w:r>
    </w:p>
    <w:p w:rsidR="0047491A" w:rsidRPr="000308EE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47491A" w:rsidRPr="00F60B85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(предпочтительней), С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участников, должны быть обязательно подписаны: участник, название композиции.</w:t>
      </w:r>
    </w:p>
    <w:p w:rsidR="0047491A" w:rsidRDefault="0047491A" w:rsidP="00DB5115">
      <w:pPr>
        <w:numPr>
          <w:ilvl w:val="0"/>
          <w:numId w:val="5"/>
        </w:numPr>
        <w:shd w:val="clear" w:color="auto" w:fill="FFFFFF"/>
        <w:spacing w:after="0" w:line="1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47491A" w:rsidRPr="00F60B85" w:rsidRDefault="0047491A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Фестиваль проходит по следующим направлениям:</w:t>
      </w:r>
    </w:p>
    <w:p w:rsidR="0047491A" w:rsidRPr="007664A9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хор (количественный состав от 15 и более чел.);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вокальный ансамбл</w:t>
      </w:r>
      <w:proofErr w:type="gramStart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ь-</w:t>
      </w:r>
      <w:proofErr w:type="gramEnd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 от 8 до 14 чел.)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вокальный ансамбл</w:t>
      </w:r>
      <w:proofErr w:type="gramStart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ь-</w:t>
      </w:r>
      <w:proofErr w:type="gramEnd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малая форма (от 3 до 7 чел.);</w:t>
      </w:r>
    </w:p>
    <w:p w:rsidR="0047491A" w:rsidRPr="00024350" w:rsidRDefault="0047491A" w:rsidP="000406CC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сольные исполнители и дуэты.</w:t>
      </w:r>
    </w:p>
    <w:p w:rsidR="0047491A" w:rsidRPr="007664A9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соло и дуэт;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малая форма (количественный состав от 3 до 7 чел.);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ансамбль (количественный состав от 8 и более чел.).</w:t>
      </w:r>
    </w:p>
    <w:p w:rsidR="00024350" w:rsidRPr="00F60B85" w:rsidRDefault="00024350" w:rsidP="00024350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D914F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ru-RU"/>
        </w:rPr>
        <w:t>Возраст участников:</w:t>
      </w:r>
      <w:r w:rsidRPr="00D914F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  </w:t>
      </w:r>
      <w:r w:rsidR="00020F0B" w:rsidRPr="00D914F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не ограничен</w:t>
      </w:r>
    </w:p>
    <w:p w:rsidR="0047491A" w:rsidRPr="00024350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Возрастные группы: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Детский танец и детский вокал (до 7 лет</w:t>
      </w:r>
      <w:r w:rsidRPr="0056561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младшая  (8-10 лет);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средняя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средняя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47491A" w:rsidRPr="00565617" w:rsidRDefault="00020F0B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старшая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</w:t>
      </w:r>
    </w:p>
    <w:p w:rsidR="00020F0B" w:rsidRPr="00565617" w:rsidRDefault="00020F0B" w:rsidP="00020F0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>молодежная</w:t>
      </w:r>
      <w:proofErr w:type="gramEnd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 xml:space="preserve"> (20-25 лет)</w:t>
      </w:r>
    </w:p>
    <w:p w:rsidR="00020F0B" w:rsidRPr="00565617" w:rsidRDefault="00020F0B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>взрослая</w:t>
      </w:r>
      <w:proofErr w:type="gramEnd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 xml:space="preserve"> (от 25 лет)</w:t>
      </w:r>
    </w:p>
    <w:p w:rsidR="00020F0B" w:rsidRPr="00565617" w:rsidRDefault="00026C77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7664A9" w:rsidRPr="00F60B85" w:rsidRDefault="007664A9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914F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Категория «ПРОФИ»</w:t>
      </w:r>
      <w:r w:rsidRPr="007664A9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(принимают участие учащиеся профессиональных учебных заведений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оцениваются отдельно от других участников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)</w:t>
      </w: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5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47491A" w:rsidRPr="00F60B85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47491A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CA2B65" w:rsidRPr="00F60B85" w:rsidRDefault="00CA2B65" w:rsidP="00CA2B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D914FC" w:rsidRPr="00B126BF" w:rsidRDefault="0047491A" w:rsidP="00B126BF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47491A" w:rsidRPr="00F60B85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47491A" w:rsidRPr="000406CC" w:rsidRDefault="0047491A" w:rsidP="000406CC">
      <w:pPr>
        <w:numPr>
          <w:ilvl w:val="0"/>
          <w:numId w:val="8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  <w:r w:rsidRPr="000406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363C18" w:rsidRPr="00696A2F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0406CC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  <w:r w:rsidRPr="000406CC">
        <w:rPr>
          <w:rFonts w:ascii="inherit" w:eastAsia="Times New Roman" w:hAnsi="inherit" w:cs="Arial"/>
          <w:color w:val="222222"/>
          <w:sz w:val="24"/>
          <w:szCs w:val="24"/>
          <w:u w:val="single"/>
          <w:lang w:eastAsia="ru-RU"/>
        </w:rPr>
        <w:br/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оценки качества выступления участников на зональных и финальных этапах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 организаторами мероприятия создаётся и утверждается компетентное жюри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7D586C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47491A" w:rsidRPr="007D586C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чистота интонирования;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дикция, ритмичность, качество звучания;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артистизм и сценическая культура;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47491A" w:rsidRPr="007D586C" w:rsidRDefault="0047491A" w:rsidP="000406CC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воплощение музыкального образа.</w:t>
      </w:r>
    </w:p>
    <w:p w:rsidR="0047491A" w:rsidRPr="00F60B85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уровень хореографической подготовки, пластика;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музыкальность и выразительность исполнения;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композиция танца;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47491A" w:rsidRPr="007D586C" w:rsidRDefault="0047491A" w:rsidP="000406CC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47491A" w:rsidRPr="00F60B85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020F0B" w:rsidRPr="00020F0B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отборочных этапов фестиваля-конкурса жюри </w:t>
      </w:r>
      <w:r w:rsidRPr="007D586C">
        <w:rPr>
          <w:rFonts w:ascii="inherit" w:eastAsia="Times New Roman" w:hAnsi="inherit" w:cs="Arial"/>
          <w:sz w:val="24"/>
          <w:szCs w:val="24"/>
          <w:lang w:eastAsia="ru-RU"/>
        </w:rPr>
        <w:t>вручает</w:t>
      </w:r>
      <w:r w:rsidRPr="007D586C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«Диплом лауреата I, II, III степени».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</w:p>
    <w:p w:rsidR="0047491A" w:rsidRPr="00020F0B" w:rsidRDefault="00F953AA" w:rsidP="00B126B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ВНИМАНИЕ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! Бланки дипломов выдаются всем участникам, кубки только лауреатам 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степени. Благодарности выдаются всем руководителям</w:t>
      </w:r>
      <w:r w:rsidR="003A79C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 другим лицам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, которые будут указаны в заявке</w:t>
      </w:r>
      <w:r w:rsid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B3E27" w:rsidRPr="00D914FC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финального этапа фестиваля-конкурса жюри вручает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«Диплом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III</w:t>
      </w:r>
      <w:r w:rsidR="00363C18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» </w:t>
      </w:r>
      <w:r w:rsidR="00C5169A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Диплом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лауреата I, II, III степени», «Гран-при» </w:t>
      </w:r>
      <w:r w:rsidRPr="007D586C">
        <w:rPr>
          <w:rFonts w:ascii="inherit" w:eastAsia="Times New Roman" w:hAnsi="inherit" w:cs="Arial"/>
          <w:sz w:val="24"/>
          <w:szCs w:val="24"/>
          <w:lang w:eastAsia="ru-RU"/>
        </w:rPr>
        <w:t>(вручается в каждой номинации</w:t>
      </w:r>
      <w:r w:rsidR="00026C77">
        <w:rPr>
          <w:rFonts w:ascii="inherit" w:eastAsia="Times New Roman" w:hAnsi="inherit" w:cs="Arial"/>
          <w:sz w:val="24"/>
          <w:szCs w:val="24"/>
          <w:lang w:eastAsia="ru-RU"/>
        </w:rPr>
        <w:t xml:space="preserve"> на усмотрение жюри</w:t>
      </w:r>
      <w:r w:rsidR="001B3E27">
        <w:rPr>
          <w:rFonts w:ascii="inherit" w:eastAsia="Times New Roman" w:hAnsi="inherit" w:cs="Arial"/>
          <w:sz w:val="24"/>
          <w:szCs w:val="24"/>
          <w:lang w:eastAsia="ru-RU"/>
        </w:rPr>
        <w:t>).</w:t>
      </w:r>
    </w:p>
    <w:p w:rsidR="0047491A" w:rsidRPr="00F60B85" w:rsidRDefault="0047491A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1B3E27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за </w:t>
      </w:r>
      <w:r w:rsidR="00020F0B" w:rsidRPr="00D22B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5 дней</w:t>
      </w:r>
      <w:r w:rsidRPr="00D22BE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до начала этапа.  Количество участников творческого коллектива не ограничено.</w:t>
      </w:r>
    </w:p>
    <w:p w:rsidR="0047491A" w:rsidRPr="00F60B85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020F0B" w:rsidRDefault="00CA2B65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-соло — 90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-дуэт — 12</w:t>
      </w:r>
      <w:r w:rsidR="00020F0B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</w:t>
      </w:r>
      <w:r w:rsidR="00024350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(по 60</w:t>
      </w:r>
      <w:r w:rsidR="0002435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 рублей с человека)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;</w:t>
      </w:r>
    </w:p>
    <w:p w:rsidR="0047491A" w:rsidRPr="00020F0B" w:rsidRDefault="00CA2B65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3 до 7 участников — 50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человека;</w:t>
      </w:r>
    </w:p>
    <w:p w:rsidR="0047491A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-от 8 и более </w:t>
      </w:r>
      <w:r w:rsidR="00CA2B65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участников — 40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человека.</w:t>
      </w:r>
    </w:p>
    <w:p w:rsidR="00D914FC" w:rsidRPr="00020F0B" w:rsidRDefault="00D914FC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</w:p>
    <w:p w:rsidR="0047491A" w:rsidRPr="00F60B85" w:rsidRDefault="00B12A2B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 xml:space="preserve">Участие 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солиста или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коллектива во второй и последующих  номинациях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оплачивается в следующем размере: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соло — 70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-дуэт — 10</w:t>
      </w:r>
      <w:r w:rsidR="00020F0B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</w:t>
      </w:r>
      <w:r w:rsidR="00024350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(по 50</w:t>
      </w:r>
      <w:r w:rsidR="0002435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 рублей с человека)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;</w:t>
      </w:r>
    </w:p>
    <w:p w:rsidR="0047491A" w:rsidRPr="00020F0B" w:rsidRDefault="00CA2B65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3 до 7 участников — 45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человека;</w:t>
      </w:r>
    </w:p>
    <w:p w:rsidR="00020F0B" w:rsidRPr="004B30AE" w:rsidRDefault="00CA2B65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8 и более участников — 35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человека.</w:t>
      </w:r>
    </w:p>
    <w:p w:rsidR="00020F0B" w:rsidRDefault="00020F0B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Дополнительная номинацией </w:t>
      </w:r>
      <w:proofErr w:type="gramStart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считается</w:t>
      </w:r>
      <w:proofErr w:type="gramEnd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если только отдельный солист принимает участие сольно в двух и б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олее номинациях, либо один и тот же коллектив одной возрастной категорией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также принимает участие в нескольких номинациях.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Участники, которые принимают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участие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сольно и в групповых номерах дополнительной номинацией не считаются</w:t>
      </w:r>
    </w:p>
    <w:p w:rsidR="00D22BE6" w:rsidRDefault="00D22BE6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Обладатели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</w:t>
      </w:r>
      <w:r w:rsidR="00246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ФИНАЛА Десятого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Всекубанского</w:t>
      </w:r>
      <w:proofErr w:type="spellEnd"/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фестив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конкурса «Полифония сердец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», принимают участие бесплатно, но только в тех номинациях, в ко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торых стали обладателями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Обладатели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в номинации 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«ЛУЧШИЙ РАЗНОЖАНРОВЫЙ УЧАСТНИК ФЕСТИВАЛЯ»- принимают участие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БЕСПЛАТНО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во всех номинациях, в которых будут заявлены.</w:t>
      </w:r>
    </w:p>
    <w:p w:rsidR="00CA2B65" w:rsidRPr="001B0348" w:rsidRDefault="001B0348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B03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 организаторов можно дополнительно заказать  индивидуальные дипломы (70 рублей за диплом), а также медали с символикой фестиваля и кубки. Стоимость уточняйте при подаче заявки</w:t>
      </w:r>
    </w:p>
    <w:p w:rsidR="0047491A" w:rsidRPr="00F60B85" w:rsidRDefault="0047491A" w:rsidP="0002499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стоимость входит: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фестивальное обслуживание;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техническое обеспечение;</w:t>
      </w:r>
    </w:p>
    <w:p w:rsidR="0047491A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участие в конкурсе;</w:t>
      </w:r>
    </w:p>
    <w:p w:rsidR="004B30AE" w:rsidRPr="004B30AE" w:rsidRDefault="004B30AE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призовой фонд;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Расходы по питанию и проезду участников фестиваля-конкурса производят направляющие стороны или сами участники.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Ответственность за жизнь и здоровье участников несет руководитель делегации.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Руководителю делегации, прибывающему на фестиваль-конкурс, необходимо иметь при себе список участников делегации с указанием ФИО и даты рождения.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необходимо не позднее, чем за 10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дней до конкурсного дня предоставить в оргкомитет фестиваля-конкурса по факсу или электронной почте следующие документы и материалы: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заявку на участие в фестивале-конкурсе (приложение 1);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Оплата производится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авансовым платежом (не менее 30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% от стоимости номинации). Копия платёжного поручения высылается в оргкомитет на электронную почту.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дней, авансовый платеж не возвращаются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1B034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A60303"/>
          <w:sz w:val="24"/>
          <w:szCs w:val="24"/>
          <w:u w:val="single"/>
          <w:bdr w:val="none" w:sz="0" w:space="0" w:color="auto" w:frame="1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5F7D40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festivalkk@mail.ru</w:t>
        </w:r>
      </w:hyperlink>
      <w: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сайт:    </w:t>
      </w:r>
      <w:hyperlink r:id="rId7" w:history="1"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http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://</w:t>
        </w:r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festival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-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kk</w:t>
        </w:r>
        <w:proofErr w:type="spellEnd"/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.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1B0348" w:rsidRDefault="001B0348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</w:p>
    <w:p w:rsidR="001B0348" w:rsidRDefault="001B0348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</w:p>
    <w:p w:rsidR="001B0348" w:rsidRPr="001B0348" w:rsidRDefault="001B0348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  <w:bookmarkStart w:id="0" w:name="_GoBack"/>
      <w:bookmarkEnd w:id="0"/>
    </w:p>
    <w:p w:rsidR="00C21121" w:rsidRDefault="00C21121" w:rsidP="001B0348">
      <w:pPr>
        <w:tabs>
          <w:tab w:val="num" w:pos="-360"/>
        </w:tabs>
        <w:spacing w:after="0" w:line="240" w:lineRule="auto"/>
        <w:ind w:right="-115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6058BF" w:rsidRPr="006058BF" w:rsidRDefault="00246042" w:rsidP="006058BF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Одиннадцатый</w:t>
      </w:r>
      <w:r w:rsidR="006058BF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Все</w:t>
      </w:r>
      <w:r w:rsid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кубанский</w:t>
      </w:r>
      <w:r w:rsidR="006058BF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фестиваль- конкурс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СЕРДЕЦ.“</w:t>
      </w:r>
    </w:p>
    <w:p w:rsid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руководителя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Контактный телефон руководителя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  <w:lang w:val="bg-BG" w:eastAsia="ru-RU"/>
        </w:rPr>
        <w:t>)</w:t>
      </w:r>
      <w:r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Полное название коллектива/  ФИО солиста: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Возрастная категория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Жанр (вокал, хореография)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Номинация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Название номера</w:t>
      </w:r>
      <w:r w:rsidRPr="006058BF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Количество участников в номере (для коллектива)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Хронометраж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Учреждение: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Город /населенный пункт: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Pr="006058B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  <w:t xml:space="preserve"> 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т.д.):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4D4C60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 w:eastAsia="ru-RU"/>
        </w:rPr>
        <w:t>Пожелания для</w:t>
      </w:r>
      <w:r w:rsidR="006058BF"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 орг.комитетом)</w:t>
      </w:r>
      <w:r w:rsidR="006058BF"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="006058BF" w:rsidRPr="00605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_______________________________________</w:t>
      </w:r>
      <w:r w:rsidR="006058BF"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 xml:space="preserve"> 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Руководитель делегации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(подпись)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 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(дата)</w:t>
      </w:r>
    </w:p>
    <w:p w:rsidR="00A7502C" w:rsidRPr="00E25A6B" w:rsidRDefault="00A7502C" w:rsidP="006058BF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1642B"/>
    <w:rsid w:val="00020F0B"/>
    <w:rsid w:val="000235D8"/>
    <w:rsid w:val="00024350"/>
    <w:rsid w:val="00024999"/>
    <w:rsid w:val="00026C77"/>
    <w:rsid w:val="000308EE"/>
    <w:rsid w:val="0003149A"/>
    <w:rsid w:val="000406CC"/>
    <w:rsid w:val="001244E2"/>
    <w:rsid w:val="00160F32"/>
    <w:rsid w:val="001B0348"/>
    <w:rsid w:val="001B3A95"/>
    <w:rsid w:val="001B3E27"/>
    <w:rsid w:val="001F77F3"/>
    <w:rsid w:val="00246042"/>
    <w:rsid w:val="002668B3"/>
    <w:rsid w:val="00281BCE"/>
    <w:rsid w:val="002C4177"/>
    <w:rsid w:val="00331173"/>
    <w:rsid w:val="00363C18"/>
    <w:rsid w:val="00391ACD"/>
    <w:rsid w:val="003A79CE"/>
    <w:rsid w:val="003E2222"/>
    <w:rsid w:val="00405771"/>
    <w:rsid w:val="00442414"/>
    <w:rsid w:val="00462FD9"/>
    <w:rsid w:val="0047491A"/>
    <w:rsid w:val="004B30AE"/>
    <w:rsid w:val="004B751B"/>
    <w:rsid w:val="004D4C60"/>
    <w:rsid w:val="00506B9A"/>
    <w:rsid w:val="0052440C"/>
    <w:rsid w:val="00565617"/>
    <w:rsid w:val="00584E8F"/>
    <w:rsid w:val="0058676A"/>
    <w:rsid w:val="005B34BE"/>
    <w:rsid w:val="005D276A"/>
    <w:rsid w:val="006058BF"/>
    <w:rsid w:val="00622D67"/>
    <w:rsid w:val="00644999"/>
    <w:rsid w:val="00696A2F"/>
    <w:rsid w:val="006C07F2"/>
    <w:rsid w:val="00713EA5"/>
    <w:rsid w:val="007664A9"/>
    <w:rsid w:val="00773C2F"/>
    <w:rsid w:val="0079051C"/>
    <w:rsid w:val="007B3E1A"/>
    <w:rsid w:val="007D586C"/>
    <w:rsid w:val="008555F9"/>
    <w:rsid w:val="008A119B"/>
    <w:rsid w:val="008B3C1B"/>
    <w:rsid w:val="00902FA7"/>
    <w:rsid w:val="00950813"/>
    <w:rsid w:val="009748A6"/>
    <w:rsid w:val="00A42B38"/>
    <w:rsid w:val="00A520FE"/>
    <w:rsid w:val="00A56E26"/>
    <w:rsid w:val="00A74E21"/>
    <w:rsid w:val="00A7502C"/>
    <w:rsid w:val="00A77001"/>
    <w:rsid w:val="00B12192"/>
    <w:rsid w:val="00B126BF"/>
    <w:rsid w:val="00B12A2B"/>
    <w:rsid w:val="00BE065F"/>
    <w:rsid w:val="00BF344B"/>
    <w:rsid w:val="00BF5BF9"/>
    <w:rsid w:val="00C21121"/>
    <w:rsid w:val="00C27332"/>
    <w:rsid w:val="00C31492"/>
    <w:rsid w:val="00C5169A"/>
    <w:rsid w:val="00C66D4E"/>
    <w:rsid w:val="00CA1747"/>
    <w:rsid w:val="00CA2B65"/>
    <w:rsid w:val="00CD286E"/>
    <w:rsid w:val="00CE0984"/>
    <w:rsid w:val="00CE159A"/>
    <w:rsid w:val="00CE4BC1"/>
    <w:rsid w:val="00CE7ADE"/>
    <w:rsid w:val="00D074EC"/>
    <w:rsid w:val="00D22BE6"/>
    <w:rsid w:val="00D914FC"/>
    <w:rsid w:val="00DB5115"/>
    <w:rsid w:val="00E25A6B"/>
    <w:rsid w:val="00E47D51"/>
    <w:rsid w:val="00E5549B"/>
    <w:rsid w:val="00E72C09"/>
    <w:rsid w:val="00EE5C01"/>
    <w:rsid w:val="00F02E1A"/>
    <w:rsid w:val="00F077AD"/>
    <w:rsid w:val="00F12AEC"/>
    <w:rsid w:val="00F663DD"/>
    <w:rsid w:val="00F94351"/>
    <w:rsid w:val="00F953AA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19684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66</cp:revision>
  <cp:lastPrinted>2024-08-28T07:46:00Z</cp:lastPrinted>
  <dcterms:created xsi:type="dcterms:W3CDTF">2018-12-06T10:20:00Z</dcterms:created>
  <dcterms:modified xsi:type="dcterms:W3CDTF">2024-11-28T13:16:00Z</dcterms:modified>
</cp:coreProperties>
</file>